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209.04: Suspension of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Revised: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Reviewed: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Generally, the Tri-County board will follow board policy and enforce it equitably.  The board, and only the board, may, in extreme emergencies of a very unique nature, suspend policy.  It is within the discretion of the board to determine when an extreme emergency of a very unique nature exists.  Reasons for suspension of board policy will be documented in board minutes.</w:t>
        <w:br w:type="textWrapping"/>
        <w:br w:type="textWrapping"/>
        <w:br w:type="textWrapping"/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 279.8.</w:t>
              <w:br w:type="textWrapping"/>
              <w:t xml:space="preserve">281 I.A.C. 12.3(2).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 </w:t>
      </w:r>
    </w:p>
    <w:p w:rsidR="00000000" w:rsidDel="00000000" w:rsidP="00000000" w:rsidRDefault="00000000" w:rsidRPr="00000000" w14:paraId="0000000B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I.A.C. Iowa Administrative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281 I.A.C. 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Administration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4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Responsibilities of the Board of Directors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mbli.eboardsolutions.com/Policy/ViewPolicy.aspx?S=36031104&amp;revid=lXF5VOxJCDeGamoSnmRB2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8.pdf" TargetMode="External"/><Relationship Id="rId8" Type="http://schemas.openxmlformats.org/officeDocument/2006/relationships/hyperlink" Target="https://www.legis.iowa.gov/docs/iac/rule/281.12.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JCvc1qVtLQj90JJAxjf81hV5A==">CgMxLjAyCGguZ2pkZ3hzOAByITFsSmgtOVJ1bzRQTU91ZVlkYWI1b0NOZ0xJNllrUnhzRw==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2024-02-14T19:59:00Z</dcterms:created>
  <dc:creator>Linda Heisdorffer</dc:creator>
</cp:coreProperties>
</file>